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tbl>
      <w:tblPr>
        <w:jc w:val="left"/>
        <w:tblInd w:w="113" w:type="dxa"/>
        <w:tblW w:w="8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960"/>
        <w:gridCol w:w="1920"/>
        <w:gridCol w:w="1180"/>
        <w:gridCol w:w="1600"/>
        <w:gridCol w:w="1660"/>
      </w:tblGrid>
      <w:tr>
        <w:trPr>
          <w:trHeight w:val="996"/>
        </w:trPr>
        <w:tc>
          <w:tcPr>
            <w:tcW w:w="87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eastAsia="方正小标宋_GBK" w:cs="Times New Roman" w:hAnsi="Times New Roman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ascii="方正小标宋_GBK" w:eastAsia="方正小标宋_GBK" w:cs="宋体" w:hAnsi="宋体" w:hint="eastAsia"/>
                <w:color w:val="000000"/>
                <w:kern w:val="0"/>
                <w:sz w:val="44"/>
                <w:szCs w:val="44"/>
              </w:rPr>
              <w:t>重庆三峡银行</w:t>
            </w:r>
            <w:r>
              <w:rPr>
                <w:rFonts w:ascii="方正小标宋_GBK" w:eastAsia="方正小标宋_GBK" w:hint="eastAsia"/>
                <w:sz w:val="44"/>
                <w:szCs w:val="32"/>
              </w:rPr>
              <w:t>奉溪高速上磺互通</w:t>
            </w:r>
            <w:r>
              <w:rPr>
                <w:rFonts w:ascii="Times New Roman" w:eastAsia="方正小标宋_GBK" w:cs="Times New Roman" w:hAnsi="Times New Roman" w:hint="eastAsia"/>
                <w:sz w:val="44"/>
                <w:szCs w:val="44"/>
              </w:rPr>
              <w:t>大牌</w:t>
            </w:r>
          </w:p>
          <w:p>
            <w:pPr>
              <w:widowControl/>
              <w:jc w:val="center"/>
              <w:rPr>
                <w:rFonts w:ascii="Times New Roman" w:eastAsia="方正小标宋_GBK" w:cs="Times New Roman" w:hAnsi="Times New Roman"/>
                <w:sz w:val="44"/>
                <w:szCs w:val="44"/>
              </w:rPr>
            </w:pPr>
            <w:r>
              <w:rPr>
                <w:rFonts w:ascii="Times New Roman" w:eastAsia="方正小标宋_GBK" w:cs="Times New Roman" w:hAnsi="Times New Roman" w:hint="eastAsia"/>
                <w:sz w:val="44"/>
                <w:szCs w:val="44"/>
              </w:rPr>
              <w:t>广告项目</w:t>
            </w:r>
            <w:r>
              <w:rPr>
                <w:rFonts w:ascii="方正小标宋_GBK" w:eastAsia="方正小标宋_GBK" w:cs="宋体" w:hAnsi="宋体" w:hint="eastAsia"/>
                <w:color w:val="000000"/>
                <w:kern w:val="0"/>
                <w:sz w:val="44"/>
                <w:szCs w:val="44"/>
              </w:rPr>
              <w:t>采购结果公示</w:t>
            </w:r>
          </w:p>
        </w:tc>
      </w:tr>
      <w:tr>
        <w:trPr>
          <w:trHeight w:val="744"/>
        </w:trPr>
        <w:tc>
          <w:tcPr>
            <w:tcW w:w="872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（公示期：202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10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日-202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5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2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12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日）</w:t>
            </w:r>
          </w:p>
        </w:tc>
      </w:tr>
      <w:tr>
        <w:trPr>
          <w:trHeight w:val="1375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项目</w:t>
            </w:r>
          </w:p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名称</w:t>
            </w:r>
          </w:p>
        </w:tc>
        <w:tc>
          <w:tcPr>
            <w:tcW w:w="40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奉溪高速上磺互通</w:t>
            </w:r>
          </w:p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大牌广告项目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采购方式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直接采购</w:t>
            </w:r>
          </w:p>
        </w:tc>
      </w:tr>
      <w:tr>
        <w:trPr>
          <w:trHeight w:val="1416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候选成交供应商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第一成交候选人</w:t>
            </w:r>
          </w:p>
        </w:tc>
        <w:tc>
          <w:tcPr>
            <w:tcW w:w="4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594" w:lineRule="exact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 xml:space="preserve">巫溪县中锋广告经营部  </w:t>
            </w:r>
          </w:p>
        </w:tc>
      </w:tr>
      <w:tr>
        <w:trPr>
          <w:trHeight w:val="768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拟成交供应商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594" w:lineRule="exact"/>
              <w:ind w:firstLineChars="400" w:firstLine="128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 xml:space="preserve">巫溪县中锋广告经营部   </w:t>
            </w:r>
            <w:r>
              <w:rPr>
                <w:rFonts w:ascii="Times New Roman" w:eastAsia="方正仿宋_GBK" w:cs="Times New Roman" w:hAnsi="Times New Roman" w:hint="eastAsia"/>
                <w:sz w:val="32"/>
                <w:szCs w:val="32"/>
              </w:rPr>
              <w:t xml:space="preserve"> </w:t>
            </w:r>
          </w:p>
        </w:tc>
      </w:tr>
      <w:tr>
        <w:trPr>
          <w:trHeight w:val="553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成交金额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700" w:firstLine="224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18.6万</w:t>
            </w: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元</w:t>
            </w:r>
          </w:p>
        </w:tc>
      </w:tr>
      <w:tr>
        <w:trPr>
          <w:trHeight w:val="4035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采购内容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line="594" w:lineRule="exact"/>
              <w:ind w:firstLineChars="400" w:firstLine="128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594" w:lineRule="exac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594" w:lineRule="exac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奉溪高速上磺互通大牌广告投放2年。</w:t>
            </w:r>
          </w:p>
          <w:p>
            <w:pPr>
              <w:widowControl/>
              <w:ind w:firstLineChars="400" w:firstLine="128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 xml:space="preserve">          </w:t>
            </w:r>
          </w:p>
          <w:p>
            <w:pPr>
              <w:widowControl/>
              <w:ind w:firstLineChars="400" w:firstLine="128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</w:p>
        </w:tc>
      </w:tr>
      <w:tr>
        <w:trPr>
          <w:trHeight w:val="846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投诉受理部门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ind w:firstLineChars="100" w:firstLine="320"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重庆三峡银行股份有限公司法律合规部</w:t>
            </w:r>
          </w:p>
        </w:tc>
      </w:tr>
      <w:tr>
        <w:trPr>
          <w:trHeight w:val="702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投诉受理电话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  <w:t>88890300</w:t>
            </w:r>
          </w:p>
        </w:tc>
      </w:tr>
      <w:tr>
        <w:trPr>
          <w:trHeight w:val="714"/>
        </w:trPr>
        <w:tc>
          <w:tcPr>
            <w:tcW w:w="23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000000"/>
                <w:kern w:val="0"/>
                <w:sz w:val="32"/>
                <w:szCs w:val="32"/>
              </w:rPr>
              <w:t>其    他</w:t>
            </w:r>
          </w:p>
        </w:tc>
        <w:tc>
          <w:tcPr>
            <w:tcW w:w="63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eastAsia="宋体" w:cs="宋体" w:hAnsi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cs="宋体" w:hAnsi="宋体" w:hint="eastAsia"/>
                <w:color w:val="333333"/>
                <w:kern w:val="0"/>
                <w:sz w:val="32"/>
                <w:szCs w:val="3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9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 w:hAnsi="宋体"/>
      <w:kern w:val="0"/>
      <w:sz w:val="24"/>
      <w:szCs w:val="24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